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46" w:rsidRDefault="00C13810">
      <w:pPr>
        <w:spacing w:after="234"/>
        <w:ind w:right="27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3537407</wp:posOffset>
            </wp:positionH>
            <wp:positionV relativeFrom="paragraph">
              <wp:posOffset>35281</wp:posOffset>
            </wp:positionV>
            <wp:extent cx="6583681" cy="4450081"/>
            <wp:effectExtent l="0" t="0" r="0" b="0"/>
            <wp:wrapSquare wrapText="bothSides"/>
            <wp:docPr id="2674" name="Picture 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" name="Picture 26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681" cy="4450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</w:rPr>
        <w:t>Важно знать!</w:t>
      </w:r>
      <w:r>
        <w:rPr>
          <w:b/>
          <w:sz w:val="36"/>
        </w:rPr>
        <w:t xml:space="preserve"> </w:t>
      </w:r>
    </w:p>
    <w:p w:rsidR="00D02046" w:rsidRDefault="00C13810">
      <w:pPr>
        <w:spacing w:after="0" w:line="236" w:lineRule="auto"/>
        <w:ind w:left="355" w:right="27" w:hanging="370"/>
      </w:pPr>
      <w:r>
        <w:rPr>
          <w:rFonts w:ascii="Segoe UI Symbol" w:eastAsia="Segoe UI Symbol" w:hAnsi="Segoe UI Symbol" w:cs="Segoe UI Symbol"/>
          <w:sz w:val="28"/>
        </w:rPr>
        <w:t xml:space="preserve">! </w:t>
      </w:r>
      <w:r>
        <w:rPr>
          <w:sz w:val="28"/>
        </w:rPr>
        <w:t xml:space="preserve">Уголовная ответственность за изнасилование наступает с </w:t>
      </w:r>
      <w:r>
        <w:rPr>
          <w:sz w:val="28"/>
          <w:u w:val="single" w:color="000000"/>
        </w:rPr>
        <w:t>14 лет</w:t>
      </w:r>
      <w:r>
        <w:rPr>
          <w:sz w:val="28"/>
        </w:rPr>
        <w:t xml:space="preserve"> </w:t>
      </w:r>
    </w:p>
    <w:p w:rsidR="00D02046" w:rsidRDefault="00C13810">
      <w:pPr>
        <w:spacing w:after="134" w:line="261" w:lineRule="auto"/>
        <w:ind w:left="360" w:right="27"/>
      </w:pPr>
      <w:r>
        <w:rPr>
          <w:sz w:val="24"/>
          <w:u w:val="single" w:color="000000"/>
        </w:rPr>
        <w:t>(</w:t>
      </w:r>
      <w:r>
        <w:rPr>
          <w:sz w:val="24"/>
        </w:rPr>
        <w:t>лица, не достигшие возраста уголовной ответственности помещаются в ЦВСНП)</w:t>
      </w:r>
    </w:p>
    <w:p w:rsidR="00D02046" w:rsidRDefault="00C13810">
      <w:pPr>
        <w:spacing w:after="195" w:line="236" w:lineRule="auto"/>
        <w:ind w:left="355" w:right="27" w:hanging="370"/>
      </w:pPr>
      <w:r>
        <w:rPr>
          <w:rFonts w:ascii="Segoe UI Symbol" w:eastAsia="Segoe UI Symbol" w:hAnsi="Segoe UI Symbol" w:cs="Segoe UI Symbol"/>
          <w:sz w:val="28"/>
        </w:rPr>
        <w:t xml:space="preserve">! </w:t>
      </w:r>
      <w:r>
        <w:rPr>
          <w:sz w:val="28"/>
        </w:rPr>
        <w:t xml:space="preserve">Понуждение к продолжению уже </w:t>
      </w:r>
      <w:r>
        <w:rPr>
          <w:sz w:val="28"/>
        </w:rPr>
        <w:t>начатых действий сексуального характера уголовно наказуемо</w:t>
      </w:r>
    </w:p>
    <w:p w:rsidR="00D02046" w:rsidRDefault="00C13810">
      <w:pPr>
        <w:spacing w:after="22" w:line="366" w:lineRule="auto"/>
        <w:ind w:left="360" w:right="27" w:hanging="360"/>
        <w:jc w:val="both"/>
      </w:pPr>
      <w:r>
        <w:rPr>
          <w:rFonts w:ascii="Segoe UI Symbol" w:eastAsia="Segoe UI Symbol" w:hAnsi="Segoe UI Symbol" w:cs="Segoe UI Symbol"/>
          <w:sz w:val="28"/>
        </w:rPr>
        <w:t xml:space="preserve">! </w:t>
      </w:r>
      <w:r>
        <w:rPr>
          <w:sz w:val="28"/>
        </w:rPr>
        <w:t>Максимальное наказание за половые преступления – пожизненное лишение свободы</w:t>
      </w:r>
    </w:p>
    <w:p w:rsidR="00D02046" w:rsidRDefault="00C13810">
      <w:pPr>
        <w:spacing w:after="578" w:line="360" w:lineRule="auto"/>
        <w:ind w:left="355" w:right="27" w:hanging="370"/>
      </w:pPr>
      <w:r>
        <w:rPr>
          <w:rFonts w:ascii="Segoe UI Symbol" w:eastAsia="Segoe UI Symbol" w:hAnsi="Segoe UI Symbol" w:cs="Segoe UI Symbol"/>
          <w:sz w:val="28"/>
        </w:rPr>
        <w:t xml:space="preserve">! </w:t>
      </w:r>
      <w:r>
        <w:rPr>
          <w:sz w:val="28"/>
        </w:rPr>
        <w:t>Жертвой может стать человек с любым социальным статусом</w:t>
      </w:r>
    </w:p>
    <w:tbl>
      <w:tblPr>
        <w:tblStyle w:val="TableGrid"/>
        <w:tblpPr w:vertAnchor="text" w:tblpX="5689" w:tblpY="571"/>
        <w:tblOverlap w:val="never"/>
        <w:tblW w:w="10459" w:type="dxa"/>
        <w:tblInd w:w="0" w:type="dxa"/>
        <w:tblCellMar>
          <w:top w:w="117" w:type="dxa"/>
          <w:left w:w="153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10459"/>
      </w:tblGrid>
      <w:tr w:rsidR="00D02046">
        <w:trPr>
          <w:trHeight w:val="3015"/>
        </w:trPr>
        <w:tc>
          <w:tcPr>
            <w:tcW w:w="10459" w:type="dxa"/>
            <w:tcBorders>
              <w:top w:val="dashed" w:sz="8" w:space="0" w:color="C0B5C3"/>
              <w:left w:val="dashed" w:sz="8" w:space="0" w:color="C0B5C3"/>
              <w:bottom w:val="dashed" w:sz="8" w:space="0" w:color="C0B5C3"/>
              <w:right w:val="dashed" w:sz="8" w:space="0" w:color="C0B5C3"/>
            </w:tcBorders>
          </w:tcPr>
          <w:p w:rsidR="00D02046" w:rsidRDefault="00C13810">
            <w:pPr>
              <w:numPr>
                <w:ilvl w:val="0"/>
                <w:numId w:val="1"/>
              </w:numPr>
              <w:spacing w:after="200"/>
              <w:ind w:firstLine="427"/>
            </w:pPr>
            <w:r>
              <w:rPr>
                <w:sz w:val="18"/>
              </w:rPr>
              <w:t>Действия сексуального характера – удовлетворение сексуальных</w:t>
            </w:r>
            <w:r>
              <w:rPr>
                <w:sz w:val="18"/>
              </w:rPr>
              <w:t xml:space="preserve"> потребностей любыми способами. </w:t>
            </w:r>
          </w:p>
          <w:p w:rsidR="00D02046" w:rsidRDefault="00C13810">
            <w:pPr>
              <w:numPr>
                <w:ilvl w:val="0"/>
                <w:numId w:val="1"/>
              </w:numPr>
              <w:spacing w:after="183" w:line="264" w:lineRule="auto"/>
              <w:ind w:firstLine="427"/>
            </w:pPr>
            <w:r>
              <w:rPr>
                <w:sz w:val="18"/>
              </w:rPr>
              <w:t xml:space="preserve">Беспомощное состояние – состояние, когда лицо не могло понимать значение совершаемых с ним действий либо оказать сопротивление виновному (бессознательное состояние, сильное опьянение и др.) </w:t>
            </w:r>
          </w:p>
          <w:p w:rsidR="00D02046" w:rsidRDefault="00C13810">
            <w:pPr>
              <w:numPr>
                <w:ilvl w:val="0"/>
                <w:numId w:val="1"/>
              </w:numPr>
              <w:spacing w:after="208"/>
              <w:ind w:firstLine="427"/>
            </w:pPr>
            <w:r>
              <w:rPr>
                <w:sz w:val="18"/>
              </w:rPr>
              <w:t>Понуждение –</w:t>
            </w:r>
            <w:r>
              <w:rPr>
                <w:sz w:val="18"/>
              </w:rPr>
              <w:t xml:space="preserve"> требование совершить действия сексуального характера. </w:t>
            </w:r>
          </w:p>
          <w:p w:rsidR="00D02046" w:rsidRDefault="00C13810">
            <w:pPr>
              <w:numPr>
                <w:ilvl w:val="0"/>
                <w:numId w:val="1"/>
              </w:numPr>
              <w:spacing w:after="109" w:line="251" w:lineRule="auto"/>
              <w:ind w:firstLine="427"/>
            </w:pPr>
            <w:r>
              <w:rPr>
                <w:sz w:val="18"/>
              </w:rPr>
              <w:t>Развратные действия – любые действия, кроме полового акта, которые были направлены на удовлетворение сексуального влечения виновного, или на вызывание сексуального возбуждения у потерпевшего, или на п</w:t>
            </w:r>
            <w:r>
              <w:rPr>
                <w:sz w:val="18"/>
              </w:rPr>
              <w:t xml:space="preserve">робуждение у него интереса к сексуальным отношениям. </w:t>
            </w:r>
          </w:p>
          <w:p w:rsidR="00D02046" w:rsidRDefault="00C13810">
            <w:pPr>
              <w:spacing w:after="0"/>
              <w:ind w:firstLine="427"/>
              <w:jc w:val="both"/>
            </w:pPr>
            <w:r>
              <w:rPr>
                <w:b/>
                <w:sz w:val="24"/>
              </w:rPr>
              <w:t xml:space="preserve">! </w:t>
            </w:r>
            <w:r>
              <w:rPr>
                <w:sz w:val="18"/>
              </w:rPr>
              <w:t xml:space="preserve">Развратными могут признаваться и такие действия, при которых непосредственный физический контакт с телом потерпевшего лица отсутствовал, включая действия, совершенные с использованием сети Интернет </w:t>
            </w:r>
          </w:p>
        </w:tc>
      </w:tr>
    </w:tbl>
    <w:p w:rsidR="00D02046" w:rsidRDefault="00C13810">
      <w:pPr>
        <w:pBdr>
          <w:top w:val="single" w:sz="12" w:space="0" w:color="A9D18E"/>
          <w:left w:val="single" w:sz="12" w:space="0" w:color="A9D18E"/>
          <w:bottom w:val="single" w:sz="12" w:space="0" w:color="A9D18E"/>
          <w:right w:val="single" w:sz="12" w:space="0" w:color="A9D18E"/>
        </w:pBdr>
        <w:spacing w:after="397" w:line="239" w:lineRule="auto"/>
        <w:ind w:left="360" w:right="27"/>
        <w:jc w:val="both"/>
      </w:pPr>
      <w:r>
        <w:rPr>
          <w:i/>
          <w:color w:val="57B46A"/>
          <w:sz w:val="28"/>
        </w:rPr>
        <w:t xml:space="preserve">Добровольный и окончательный отказ от совершения данных преступлений на стадии приготовления и покушения освобождает Вас от ответственности </w:t>
      </w:r>
    </w:p>
    <w:p w:rsidR="00D02046" w:rsidRDefault="00C13810">
      <w:pPr>
        <w:spacing w:after="0" w:line="236" w:lineRule="auto"/>
        <w:ind w:left="34" w:right="11055"/>
        <w:jc w:val="both"/>
      </w:pPr>
      <w:r>
        <w:rPr>
          <w:sz w:val="16"/>
        </w:rPr>
        <w:t>Материалы подготовлены студентами ФГБУ ВО Байкальского государственного университета под руководством Плехановой О.</w:t>
      </w:r>
      <w:r>
        <w:rPr>
          <w:sz w:val="16"/>
        </w:rPr>
        <w:t>В., кандидата юридических наук, доцентом кафед</w:t>
      </w:r>
      <w:bookmarkStart w:id="0" w:name="_GoBack"/>
      <w:bookmarkEnd w:id="0"/>
      <w:r>
        <w:rPr>
          <w:sz w:val="16"/>
        </w:rPr>
        <w:t xml:space="preserve">ры гражданского права и процесса ФГБУ ВО Байкальского государственного университета, члена экспертного совета при Уполномоченном по правам ребенка в Иркутской области, по заказу и при поддержке Уполномоченного </w:t>
      </w:r>
      <w:r>
        <w:rPr>
          <w:sz w:val="16"/>
        </w:rPr>
        <w:t>по правам ребенка в Иркутской области</w:t>
      </w:r>
    </w:p>
    <w:sectPr w:rsidR="00D02046">
      <w:pgSz w:w="16838" w:h="11906" w:orient="landscape"/>
      <w:pgMar w:top="435" w:right="371" w:bottom="500" w:left="5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281C"/>
    <w:multiLevelType w:val="hybridMultilevel"/>
    <w:tmpl w:val="04D4710C"/>
    <w:lvl w:ilvl="0" w:tplc="54DAC3BA">
      <w:start w:val="1"/>
      <w:numFmt w:val="decimal"/>
      <w:lvlText w:val="%1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912860E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3A787264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CAD876A8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500AFEE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7A8FE32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C76786A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0BF2C654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EB0460C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46"/>
    <w:rsid w:val="00C13810"/>
    <w:rsid w:val="00D0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4F669-10DF-4032-8247-A18DBF3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Токарева</dc:creator>
  <cp:keywords/>
  <cp:lastModifiedBy>ADMINISTRATOR</cp:lastModifiedBy>
  <cp:revision>2</cp:revision>
  <dcterms:created xsi:type="dcterms:W3CDTF">2025-03-11T03:45:00Z</dcterms:created>
  <dcterms:modified xsi:type="dcterms:W3CDTF">2025-03-11T03:45:00Z</dcterms:modified>
</cp:coreProperties>
</file>